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B8AD" w14:textId="77777777" w:rsidR="00C9641E" w:rsidRPr="00C9641E" w:rsidRDefault="00C9641E" w:rsidP="00C9641E">
      <w:pPr>
        <w:jc w:val="center"/>
        <w:rPr>
          <w:rFonts w:ascii="Arial" w:hAnsi="Arial" w:cs="Arial"/>
          <w:b/>
          <w:bCs/>
        </w:rPr>
      </w:pPr>
      <w:r w:rsidRPr="00C9641E">
        <w:rPr>
          <w:rFonts w:ascii="Arial" w:hAnsi="Arial" w:cs="Arial"/>
          <w:b/>
          <w:bCs/>
        </w:rPr>
        <w:t>INSTALAN CONSEJO MUNICIPAL DE SEGURIDAD CIUDADANA 2021-2024 EN BENITO JUÁREZ</w:t>
      </w:r>
    </w:p>
    <w:p w14:paraId="515C8AD4" w14:textId="77777777" w:rsidR="00C9641E" w:rsidRPr="00C9641E" w:rsidRDefault="00C9641E" w:rsidP="00C9641E">
      <w:pPr>
        <w:jc w:val="both"/>
        <w:rPr>
          <w:rFonts w:ascii="Arial" w:hAnsi="Arial" w:cs="Arial"/>
        </w:rPr>
      </w:pPr>
    </w:p>
    <w:p w14:paraId="6646D9E1" w14:textId="680B317F" w:rsidR="00C9641E" w:rsidRPr="00C9641E" w:rsidRDefault="00C9641E" w:rsidP="00C9641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 xml:space="preserve">Fue integrado por autoridades de los tres órdenes de gobierno, que trabajarán a través de Comisiones Colegiadas para mantener la paz y la seguridad del municipio </w:t>
      </w:r>
    </w:p>
    <w:p w14:paraId="47217809" w14:textId="77777777" w:rsidR="00C9641E" w:rsidRPr="00C9641E" w:rsidRDefault="00C9641E" w:rsidP="00C9641E">
      <w:pPr>
        <w:jc w:val="both"/>
        <w:rPr>
          <w:rFonts w:ascii="Arial" w:hAnsi="Arial" w:cs="Arial"/>
        </w:rPr>
      </w:pPr>
    </w:p>
    <w:p w14:paraId="6A06CF4D" w14:textId="77777777" w:rsidR="00C9641E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  <w:b/>
          <w:bCs/>
        </w:rPr>
        <w:t>Cancún, Q. R., a 05 de marzo de 2024.-</w:t>
      </w:r>
      <w:r w:rsidRPr="00C9641E">
        <w:rPr>
          <w:rFonts w:ascii="Arial" w:hAnsi="Arial" w:cs="Arial"/>
        </w:rPr>
        <w:t xml:space="preserve"> Autoridades municipales, estatales y federales, así como representantes de las fuerzas castrenses, participaron en la instalación del Consejo Municipal de Seguridad Ciudadana del Municipio de Benito Juárez 2021-2024, conformado precisamente por ellos para coordinar, planear y supervisar el servicio de la seguridad pública en la ciudad, dentro de sus respectivos ámbitos de gobierno. </w:t>
      </w:r>
    </w:p>
    <w:p w14:paraId="224BBB9B" w14:textId="77777777" w:rsidR="00C9641E" w:rsidRPr="00C9641E" w:rsidRDefault="00C9641E" w:rsidP="00C9641E">
      <w:pPr>
        <w:jc w:val="both"/>
        <w:rPr>
          <w:rFonts w:ascii="Arial" w:hAnsi="Arial" w:cs="Arial"/>
        </w:rPr>
      </w:pPr>
    </w:p>
    <w:p w14:paraId="4E68DBBC" w14:textId="77777777" w:rsidR="00C9641E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 xml:space="preserve">Se precisó que la responsabilidad primordial de dicho Consejo es mantener la paz y la seguridad en Benito Juárez, a través del trabajo coordinado en un grupo colegiado integrado por autoridades de los tres órdenes de gobierno, a través de las Comisiones Colegiadas, mientras que los representantes de otras instancias que funjan como invitados ocasionales o permanentes pueden hacer recomendaciones para fortalecer esa misma labor conjunta. </w:t>
      </w:r>
    </w:p>
    <w:p w14:paraId="27C29E81" w14:textId="77777777" w:rsidR="00C9641E" w:rsidRPr="00C9641E" w:rsidRDefault="00C9641E" w:rsidP="00C9641E">
      <w:pPr>
        <w:jc w:val="both"/>
        <w:rPr>
          <w:rFonts w:ascii="Arial" w:hAnsi="Arial" w:cs="Arial"/>
        </w:rPr>
      </w:pPr>
    </w:p>
    <w:p w14:paraId="70478138" w14:textId="77777777" w:rsidR="00C9641E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 xml:space="preserve">De tal forma, el Consejo lo conforman: la </w:t>
      </w:r>
      <w:proofErr w:type="gramStart"/>
      <w:r w:rsidRPr="00C9641E">
        <w:rPr>
          <w:rFonts w:ascii="Arial" w:hAnsi="Arial" w:cs="Arial"/>
        </w:rPr>
        <w:t>Presidenta</w:t>
      </w:r>
      <w:proofErr w:type="gramEnd"/>
      <w:r w:rsidRPr="00C9641E">
        <w:rPr>
          <w:rFonts w:ascii="Arial" w:hAnsi="Arial" w:cs="Arial"/>
        </w:rPr>
        <w:t xml:space="preserve"> Municipal de Benito Juárez, el Secretario General del Ayuntamiento, el Secretario Estatal de Seguridad Ciudadana, el Coordinador del 46° Batallón de la Guardia Nacional en Quintana Roo, el Fiscal General del Estado, el Secretario Ejecutivo del Sistema Estatal de Seguridad Ciudadana y la Presidenta de la Comisión Estatal de los Derechos Humanos. </w:t>
      </w:r>
    </w:p>
    <w:p w14:paraId="023530B1" w14:textId="77777777" w:rsidR="00C9641E" w:rsidRPr="00C9641E" w:rsidRDefault="00C9641E" w:rsidP="00C9641E">
      <w:pPr>
        <w:jc w:val="both"/>
        <w:rPr>
          <w:rFonts w:ascii="Arial" w:hAnsi="Arial" w:cs="Arial"/>
        </w:rPr>
      </w:pPr>
    </w:p>
    <w:p w14:paraId="4D99A6C7" w14:textId="77777777" w:rsidR="00C9641E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 xml:space="preserve">Al respecto, la Primera Autoridad Municipal indicó que se tendrá el apoyo desde el Ayuntamiento de Benito Juárez para </w:t>
      </w:r>
      <w:proofErr w:type="gramStart"/>
      <w:r w:rsidRPr="00C9641E">
        <w:rPr>
          <w:rFonts w:ascii="Arial" w:hAnsi="Arial" w:cs="Arial"/>
        </w:rPr>
        <w:t>que</w:t>
      </w:r>
      <w:proofErr w:type="gramEnd"/>
      <w:r w:rsidRPr="00C9641E">
        <w:rPr>
          <w:rFonts w:ascii="Arial" w:hAnsi="Arial" w:cs="Arial"/>
        </w:rPr>
        <w:t xml:space="preserve"> en estricto apego a las leyes, se implementen estrategias e instrumentos para la construcción de la paz y seguridad de la ciudad, de las y los cancunenses, así como de las y los turistas. </w:t>
      </w:r>
    </w:p>
    <w:p w14:paraId="1AA00E25" w14:textId="77777777" w:rsidR="00C9641E" w:rsidRPr="00C9641E" w:rsidRDefault="00C9641E" w:rsidP="00C9641E">
      <w:pPr>
        <w:jc w:val="both"/>
        <w:rPr>
          <w:rFonts w:ascii="Arial" w:hAnsi="Arial" w:cs="Arial"/>
        </w:rPr>
      </w:pPr>
    </w:p>
    <w:p w14:paraId="094B5080" w14:textId="77777777" w:rsidR="00C9641E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 xml:space="preserve">“A través del Consejo de Seguridad Ciudadana unimos lazos de colaboración y reafirmamos nuestro compromiso y respaldo a las acciones que permitan resultados positivos para consolidar la confianza ciudadana; que además sean con integridad, eficacia, eficiencia y una política de </w:t>
      </w:r>
      <w:proofErr w:type="gramStart"/>
      <w:r w:rsidRPr="00C9641E">
        <w:rPr>
          <w:rFonts w:ascii="Arial" w:hAnsi="Arial" w:cs="Arial"/>
        </w:rPr>
        <w:t>cero corrupción</w:t>
      </w:r>
      <w:proofErr w:type="gramEnd"/>
      <w:r w:rsidRPr="00C9641E">
        <w:rPr>
          <w:rFonts w:ascii="Arial" w:hAnsi="Arial" w:cs="Arial"/>
        </w:rPr>
        <w:t xml:space="preserve"> en nuestras instituciones de seguridad y en nuestros servidores públicos”, dijo. </w:t>
      </w:r>
    </w:p>
    <w:p w14:paraId="295BF4AD" w14:textId="77777777" w:rsidR="00C9641E" w:rsidRPr="00C9641E" w:rsidRDefault="00C9641E" w:rsidP="00C9641E">
      <w:pPr>
        <w:jc w:val="both"/>
        <w:rPr>
          <w:rFonts w:ascii="Arial" w:hAnsi="Arial" w:cs="Arial"/>
        </w:rPr>
      </w:pPr>
    </w:p>
    <w:p w14:paraId="47C650D6" w14:textId="77777777" w:rsidR="00C9641E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 xml:space="preserve">Como parte del protocolo, se tomó la protesta a los integrantes de dicho Consejo y se declaró la instalación del mismo, así como se entregaron a ellos los lineamientos generales de organización y funcionamiento de las Comisiones </w:t>
      </w:r>
      <w:r w:rsidRPr="00C9641E">
        <w:rPr>
          <w:rFonts w:ascii="Arial" w:hAnsi="Arial" w:cs="Arial"/>
        </w:rPr>
        <w:lastRenderedPageBreak/>
        <w:t xml:space="preserve">Colegiadas serán: Seguridad Ciudadana, Honor y Justicia, de Desarrollo Policial, Comisión de Evaluación y Control de Confianza, Comisión de Participación Ciudadana y Derechos Humanos, y Comisión de Gestión de Riesgos y Protección Civil. </w:t>
      </w:r>
    </w:p>
    <w:p w14:paraId="1E18003B" w14:textId="77777777" w:rsidR="00C9641E" w:rsidRPr="00C9641E" w:rsidRDefault="00C9641E" w:rsidP="00C9641E">
      <w:pPr>
        <w:jc w:val="both"/>
        <w:rPr>
          <w:rFonts w:ascii="Arial" w:hAnsi="Arial" w:cs="Arial"/>
        </w:rPr>
      </w:pPr>
    </w:p>
    <w:p w14:paraId="19CD8CC9" w14:textId="10DD38FE" w:rsidR="00C9641E" w:rsidRDefault="00C9641E" w:rsidP="00C9641E">
      <w:pPr>
        <w:jc w:val="center"/>
        <w:rPr>
          <w:rFonts w:ascii="Arial" w:hAnsi="Arial" w:cs="Arial"/>
        </w:rPr>
      </w:pPr>
      <w:r w:rsidRPr="00C9641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11E01E73" w14:textId="77777777" w:rsidR="00C9641E" w:rsidRPr="00C9641E" w:rsidRDefault="00C9641E" w:rsidP="00C9641E">
      <w:pPr>
        <w:jc w:val="center"/>
        <w:rPr>
          <w:rFonts w:ascii="Arial" w:hAnsi="Arial" w:cs="Arial"/>
        </w:rPr>
      </w:pPr>
    </w:p>
    <w:p w14:paraId="7D9EBB14" w14:textId="77777777" w:rsidR="00C9641E" w:rsidRPr="00C9641E" w:rsidRDefault="00C9641E" w:rsidP="00C9641E">
      <w:pPr>
        <w:jc w:val="center"/>
        <w:rPr>
          <w:rFonts w:ascii="Arial" w:hAnsi="Arial" w:cs="Arial"/>
          <w:b/>
          <w:bCs/>
        </w:rPr>
      </w:pPr>
      <w:r w:rsidRPr="00C9641E">
        <w:rPr>
          <w:rFonts w:ascii="Arial" w:hAnsi="Arial" w:cs="Arial"/>
          <w:b/>
          <w:bCs/>
        </w:rPr>
        <w:t>CAJA DE DATOS</w:t>
      </w:r>
    </w:p>
    <w:p w14:paraId="4D7BFA15" w14:textId="77777777" w:rsidR="00C9641E" w:rsidRPr="00C9641E" w:rsidRDefault="00C9641E" w:rsidP="00C9641E">
      <w:pPr>
        <w:jc w:val="both"/>
        <w:rPr>
          <w:rFonts w:ascii="Arial" w:hAnsi="Arial" w:cs="Arial"/>
        </w:rPr>
      </w:pPr>
    </w:p>
    <w:p w14:paraId="2835CF5F" w14:textId="77777777" w:rsidR="00C9641E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 xml:space="preserve">Fundamento jurídico del Consejo de Seguridad Ciudadana: </w:t>
      </w:r>
    </w:p>
    <w:p w14:paraId="33613DE3" w14:textId="77777777" w:rsidR="00C9641E" w:rsidRPr="00C9641E" w:rsidRDefault="00C9641E" w:rsidP="00C9641E">
      <w:pPr>
        <w:jc w:val="both"/>
        <w:rPr>
          <w:rFonts w:ascii="Arial" w:hAnsi="Arial" w:cs="Arial"/>
        </w:rPr>
      </w:pPr>
    </w:p>
    <w:p w14:paraId="34900728" w14:textId="77777777" w:rsidR="00C9641E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 xml:space="preserve">Artículo 21, párrafos noveno y décimo, de la Constitución Política de los Estados Unidos Mexicanos </w:t>
      </w:r>
    </w:p>
    <w:p w14:paraId="146F4D45" w14:textId="77777777" w:rsidR="00C9641E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>Artículo 1, 10, fracción VI, 14, fracción XIII de la Ley General del Sistema Nacional de Seguridad Pública</w:t>
      </w:r>
    </w:p>
    <w:p w14:paraId="0CF40B57" w14:textId="77777777" w:rsidR="00C9641E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 xml:space="preserve">Artículos 31, 33, 34, fracción II, 65 y 66 de la Ley de Seguridad Ciudadana del Estado de Quintana Roo </w:t>
      </w:r>
    </w:p>
    <w:p w14:paraId="0DC24FEC" w14:textId="0963AFB9" w:rsidR="00833FC9" w:rsidRPr="00C9641E" w:rsidRDefault="00C9641E" w:rsidP="00C9641E">
      <w:pPr>
        <w:jc w:val="both"/>
        <w:rPr>
          <w:rFonts w:ascii="Arial" w:hAnsi="Arial" w:cs="Arial"/>
        </w:rPr>
      </w:pPr>
      <w:r w:rsidRPr="00C9641E">
        <w:rPr>
          <w:rFonts w:ascii="Arial" w:hAnsi="Arial" w:cs="Arial"/>
        </w:rPr>
        <w:t>Artículo 228, fracción VI, 233 del Reglamento Interior de la Secretaría Municipal de Seguridad Ciudadana y Tránsito del Municipio de Benito Juárez, Quintana Roo</w:t>
      </w:r>
    </w:p>
    <w:sectPr w:rsidR="00833FC9" w:rsidRPr="00C9641E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C07A" w14:textId="77777777" w:rsidR="00907228" w:rsidRDefault="00907228" w:rsidP="0092028B">
      <w:r>
        <w:separator/>
      </w:r>
    </w:p>
  </w:endnote>
  <w:endnote w:type="continuationSeparator" w:id="0">
    <w:p w14:paraId="00AD70F5" w14:textId="77777777" w:rsidR="00907228" w:rsidRDefault="0090722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CB11" w14:textId="77777777" w:rsidR="00907228" w:rsidRDefault="00907228" w:rsidP="0092028B">
      <w:r>
        <w:separator/>
      </w:r>
    </w:p>
  </w:footnote>
  <w:footnote w:type="continuationSeparator" w:id="0">
    <w:p w14:paraId="762D690E" w14:textId="77777777" w:rsidR="00907228" w:rsidRDefault="0090722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C5440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C9641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C5440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C9641E">
                      <w:rPr>
                        <w:rFonts w:cstheme="minorHAnsi"/>
                        <w:b/>
                        <w:bCs/>
                        <w:lang w:val="es-ES"/>
                      </w:rPr>
                      <w:t>49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5026">
    <w:abstractNumId w:val="6"/>
  </w:num>
  <w:num w:numId="2" w16cid:durableId="1616984381">
    <w:abstractNumId w:val="11"/>
  </w:num>
  <w:num w:numId="3" w16cid:durableId="1139494595">
    <w:abstractNumId w:val="2"/>
  </w:num>
  <w:num w:numId="4" w16cid:durableId="2111003495">
    <w:abstractNumId w:val="7"/>
  </w:num>
  <w:num w:numId="5" w16cid:durableId="1247572883">
    <w:abstractNumId w:val="9"/>
  </w:num>
  <w:num w:numId="6" w16cid:durableId="1756435455">
    <w:abstractNumId w:val="0"/>
  </w:num>
  <w:num w:numId="7" w16cid:durableId="1910725923">
    <w:abstractNumId w:val="12"/>
  </w:num>
  <w:num w:numId="8" w16cid:durableId="905994163">
    <w:abstractNumId w:val="4"/>
  </w:num>
  <w:num w:numId="9" w16cid:durableId="300043104">
    <w:abstractNumId w:val="3"/>
  </w:num>
  <w:num w:numId="10" w16cid:durableId="1558009115">
    <w:abstractNumId w:val="1"/>
  </w:num>
  <w:num w:numId="11" w16cid:durableId="1155295950">
    <w:abstractNumId w:val="5"/>
  </w:num>
  <w:num w:numId="12" w16cid:durableId="1156724111">
    <w:abstractNumId w:val="10"/>
  </w:num>
  <w:num w:numId="13" w16cid:durableId="373777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B62FF"/>
    <w:rsid w:val="000C25FB"/>
    <w:rsid w:val="000C5340"/>
    <w:rsid w:val="00111F21"/>
    <w:rsid w:val="001251F8"/>
    <w:rsid w:val="0014199E"/>
    <w:rsid w:val="00153531"/>
    <w:rsid w:val="001E1445"/>
    <w:rsid w:val="00221361"/>
    <w:rsid w:val="00260E8D"/>
    <w:rsid w:val="0027105C"/>
    <w:rsid w:val="0029683D"/>
    <w:rsid w:val="002A38C5"/>
    <w:rsid w:val="002B1033"/>
    <w:rsid w:val="002D1BE8"/>
    <w:rsid w:val="002F0A83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B7B93"/>
    <w:rsid w:val="005D3ED9"/>
    <w:rsid w:val="00634D39"/>
    <w:rsid w:val="0063616E"/>
    <w:rsid w:val="0065406D"/>
    <w:rsid w:val="00654680"/>
    <w:rsid w:val="0066440A"/>
    <w:rsid w:val="0067627D"/>
    <w:rsid w:val="0068615A"/>
    <w:rsid w:val="006960A5"/>
    <w:rsid w:val="006A1CAC"/>
    <w:rsid w:val="006A2CF5"/>
    <w:rsid w:val="006F0C0F"/>
    <w:rsid w:val="006F54F3"/>
    <w:rsid w:val="0070322A"/>
    <w:rsid w:val="00714BC8"/>
    <w:rsid w:val="00725BC1"/>
    <w:rsid w:val="00727F70"/>
    <w:rsid w:val="00744B32"/>
    <w:rsid w:val="00751B55"/>
    <w:rsid w:val="00751D5E"/>
    <w:rsid w:val="00771DF7"/>
    <w:rsid w:val="007956E4"/>
    <w:rsid w:val="007B128D"/>
    <w:rsid w:val="007E0B4C"/>
    <w:rsid w:val="007F3DEC"/>
    <w:rsid w:val="00802082"/>
    <w:rsid w:val="00822E90"/>
    <w:rsid w:val="00833FC9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07228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20549"/>
    <w:rsid w:val="00B446D9"/>
    <w:rsid w:val="00BA3047"/>
    <w:rsid w:val="00BC0A9F"/>
    <w:rsid w:val="00BC7367"/>
    <w:rsid w:val="00BD5728"/>
    <w:rsid w:val="00C536F9"/>
    <w:rsid w:val="00C71425"/>
    <w:rsid w:val="00C822E6"/>
    <w:rsid w:val="00C948AD"/>
    <w:rsid w:val="00C9641E"/>
    <w:rsid w:val="00CB2A24"/>
    <w:rsid w:val="00CD06BD"/>
    <w:rsid w:val="00D05212"/>
    <w:rsid w:val="00D23899"/>
    <w:rsid w:val="00D26953"/>
    <w:rsid w:val="00D301AB"/>
    <w:rsid w:val="00D36864"/>
    <w:rsid w:val="00D6624F"/>
    <w:rsid w:val="00D70469"/>
    <w:rsid w:val="00D80EDE"/>
    <w:rsid w:val="00D8410C"/>
    <w:rsid w:val="00DC73C2"/>
    <w:rsid w:val="00DE42CE"/>
    <w:rsid w:val="00E30B5F"/>
    <w:rsid w:val="00E90C7C"/>
    <w:rsid w:val="00E9540E"/>
    <w:rsid w:val="00EA055A"/>
    <w:rsid w:val="00EA339E"/>
    <w:rsid w:val="00EA6398"/>
    <w:rsid w:val="00EC14E2"/>
    <w:rsid w:val="00EC7015"/>
    <w:rsid w:val="00EC7BE5"/>
    <w:rsid w:val="00ED16A2"/>
    <w:rsid w:val="00EE47E2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2024-03-05T19:12:00Z</dcterms:created>
  <dcterms:modified xsi:type="dcterms:W3CDTF">2024-03-05T19:12:00Z</dcterms:modified>
</cp:coreProperties>
</file>